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6" w:rsidRDefault="00AE1A26" w:rsidP="00AE1A26">
      <w:pPr>
        <w:autoSpaceDE w:val="0"/>
        <w:autoSpaceDN w:val="0"/>
        <w:adjustRightInd w:val="0"/>
        <w:spacing w:after="0" w:line="240" w:lineRule="auto"/>
        <w:rPr>
          <w:rFonts w:ascii="DINSalford-Bold" w:hAnsi="DINSalford-Bold" w:cs="DINSalford-Bold"/>
          <w:b/>
          <w:bCs/>
          <w:sz w:val="36"/>
          <w:szCs w:val="36"/>
        </w:rPr>
      </w:pPr>
    </w:p>
    <w:p w:rsidR="00AE1A26" w:rsidRDefault="00FB64A5" w:rsidP="00AE1A26">
      <w:pPr>
        <w:autoSpaceDE w:val="0"/>
        <w:autoSpaceDN w:val="0"/>
        <w:adjustRightInd w:val="0"/>
        <w:spacing w:after="0" w:line="240" w:lineRule="auto"/>
        <w:rPr>
          <w:rFonts w:ascii="DINSalford-Bold" w:hAnsi="DINSalford-Bold" w:cs="DINSalford-Bold"/>
          <w:b/>
          <w:bCs/>
          <w:sz w:val="36"/>
          <w:szCs w:val="36"/>
        </w:rPr>
      </w:pPr>
      <w:r>
        <w:rPr>
          <w:rFonts w:cs="Arial"/>
          <w:noProof/>
          <w:szCs w:val="24"/>
          <w:lang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1A26" w:rsidTr="00AE1A26">
        <w:tc>
          <w:tcPr>
            <w:tcW w:w="9242" w:type="dxa"/>
          </w:tcPr>
          <w:p w:rsidR="00AE1A26" w:rsidRPr="00AE1A26" w:rsidRDefault="00AE1A26" w:rsidP="00AE1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E1A26">
              <w:rPr>
                <w:rFonts w:ascii="Arial" w:hAnsi="Arial" w:cs="Arial"/>
                <w:b/>
                <w:bCs/>
                <w:sz w:val="36"/>
                <w:szCs w:val="36"/>
              </w:rPr>
              <w:t>Application for a Temporary Exemption Notice for a</w:t>
            </w:r>
          </w:p>
          <w:p w:rsidR="00AE1A26" w:rsidRPr="00AE1A26" w:rsidRDefault="00AE1A26" w:rsidP="00AE1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1A26">
              <w:rPr>
                <w:rFonts w:ascii="Arial" w:hAnsi="Arial" w:cs="Arial"/>
                <w:b/>
                <w:bCs/>
                <w:sz w:val="36"/>
                <w:szCs w:val="36"/>
              </w:rPr>
              <w:t>Selective Licence under the provisions of Part 3 of the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AE1A26">
              <w:rPr>
                <w:rFonts w:ascii="Arial" w:hAnsi="Arial" w:cs="Arial"/>
                <w:b/>
                <w:bCs/>
                <w:sz w:val="36"/>
                <w:szCs w:val="36"/>
              </w:rPr>
              <w:t>Housing Act 2004</w:t>
            </w:r>
          </w:p>
        </w:tc>
      </w:tr>
    </w:tbl>
    <w:p w:rsidR="00AE1A26" w:rsidRDefault="00AE1A26" w:rsidP="00AE1A26">
      <w:pPr>
        <w:autoSpaceDE w:val="0"/>
        <w:autoSpaceDN w:val="0"/>
        <w:adjustRightInd w:val="0"/>
        <w:spacing w:after="0" w:line="240" w:lineRule="auto"/>
        <w:rPr>
          <w:rFonts w:ascii="DINSalford-Regular" w:hAnsi="DINSalford-Regular" w:cs="DINSalford-Regular"/>
          <w:sz w:val="28"/>
          <w:szCs w:val="28"/>
        </w:rPr>
      </w:pPr>
    </w:p>
    <w:p w:rsidR="00AE1A26" w:rsidRPr="00382774" w:rsidRDefault="00AE1A26" w:rsidP="00AE1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774">
        <w:rPr>
          <w:rFonts w:ascii="Arial" w:hAnsi="Arial" w:cs="Arial"/>
          <w:sz w:val="24"/>
          <w:szCs w:val="24"/>
        </w:rPr>
        <w:t>This application form must be completed fully and to the best of your knowledge.</w:t>
      </w:r>
      <w:r w:rsidRPr="00382774"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Please do not leave boxes blank.</w:t>
      </w:r>
      <w:r w:rsidRPr="00382774">
        <w:rPr>
          <w:rFonts w:ascii="Arial" w:hAnsi="Arial" w:cs="Arial"/>
          <w:sz w:val="24"/>
          <w:szCs w:val="24"/>
        </w:rPr>
        <w:t xml:space="preserve"> </w:t>
      </w:r>
    </w:p>
    <w:p w:rsidR="00382774" w:rsidRPr="00382774" w:rsidRDefault="00382774" w:rsidP="00AE1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1A26" w:rsidRPr="00382774" w:rsidRDefault="00AE1A26" w:rsidP="00AE1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774">
        <w:rPr>
          <w:rFonts w:ascii="Arial" w:hAnsi="Arial" w:cs="Arial"/>
          <w:sz w:val="24"/>
          <w:szCs w:val="24"/>
        </w:rPr>
        <w:t>Please note that an application form is required for every property, which requires</w:t>
      </w:r>
      <w:r w:rsidRPr="00382774"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a Temporary Exemption Notice.</w:t>
      </w:r>
    </w:p>
    <w:p w:rsidR="00AE1A26" w:rsidRPr="00382774" w:rsidRDefault="00AE1A26" w:rsidP="00AE1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774" w:rsidRDefault="00AE1A26" w:rsidP="00AE1A2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2774">
        <w:rPr>
          <w:rFonts w:ascii="Arial" w:hAnsi="Arial" w:cs="Arial"/>
          <w:sz w:val="24"/>
          <w:szCs w:val="24"/>
        </w:rPr>
        <w:t>If you require any assistance in completing the application form for a Temporary</w:t>
      </w:r>
      <w:r w:rsidRPr="00382774"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Exemption Notice, or you require the form in a different format, please contact the</w:t>
      </w:r>
      <w:r w:rsidRPr="00382774"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licensing team on 0</w:t>
      </w:r>
      <w:r w:rsidR="007302D5">
        <w:rPr>
          <w:rFonts w:ascii="Arial" w:hAnsi="Arial" w:cs="Arial"/>
          <w:sz w:val="24"/>
          <w:szCs w:val="24"/>
        </w:rPr>
        <w:t xml:space="preserve">1302 </w:t>
      </w:r>
      <w:r w:rsidR="007302D5">
        <w:rPr>
          <w:rFonts w:ascii="Arial" w:hAnsi="Arial" w:cs="Arial"/>
          <w:sz w:val="24"/>
          <w:szCs w:val="24"/>
          <w:lang w:eastAsia="en-GB"/>
        </w:rPr>
        <w:t>737573</w:t>
      </w:r>
      <w:r w:rsidRPr="00382774"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 xml:space="preserve">or by email at </w:t>
      </w:r>
      <w:hyperlink r:id="rId8" w:history="1">
        <w:r w:rsidR="007302D5" w:rsidRPr="007302D5">
          <w:rPr>
            <w:rStyle w:val="Hyperlink"/>
            <w:rFonts w:cs="Arial"/>
            <w:sz w:val="24"/>
            <w:szCs w:val="24"/>
          </w:rPr>
          <w:t>Housing.standards@doncaster.gov.uk</w:t>
        </w:r>
      </w:hyperlink>
    </w:p>
    <w:p w:rsidR="007302D5" w:rsidRDefault="007302D5" w:rsidP="00AE1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82774" w:rsidRDefault="00382774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774">
        <w:rPr>
          <w:rFonts w:ascii="Arial" w:hAnsi="Arial" w:cs="Arial"/>
          <w:sz w:val="24"/>
          <w:szCs w:val="24"/>
        </w:rPr>
        <w:t xml:space="preserve">It is a criminal offence to be in control of, or be managing a </w:t>
      </w:r>
      <w:r w:rsidR="007302D5">
        <w:rPr>
          <w:rFonts w:ascii="Arial" w:hAnsi="Arial" w:cs="Arial"/>
          <w:sz w:val="24"/>
          <w:szCs w:val="24"/>
        </w:rPr>
        <w:t xml:space="preserve">house in a Selective Licensing Area, </w:t>
      </w:r>
      <w:r w:rsidRPr="00382774">
        <w:rPr>
          <w:rFonts w:ascii="Arial" w:hAnsi="Arial" w:cs="Arial"/>
          <w:sz w:val="24"/>
          <w:szCs w:val="24"/>
        </w:rPr>
        <w:t>which is not licensed but is required to be so. It is also a criminal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offence to make a false st</w:t>
      </w:r>
      <w:r w:rsidR="007302D5">
        <w:rPr>
          <w:rFonts w:ascii="Arial" w:hAnsi="Arial" w:cs="Arial"/>
          <w:sz w:val="24"/>
          <w:szCs w:val="24"/>
        </w:rPr>
        <w:t xml:space="preserve">atement in an application for a Selective License </w:t>
      </w:r>
      <w:r w:rsidRPr="00382774">
        <w:rPr>
          <w:rFonts w:ascii="Arial" w:hAnsi="Arial" w:cs="Arial"/>
          <w:sz w:val="24"/>
          <w:szCs w:val="24"/>
        </w:rPr>
        <w:t>or to fail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to comply with any condition of the licence. Before applying for a licence you may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wish to obtain independent legal advice.</w:t>
      </w:r>
    </w:p>
    <w:p w:rsidR="00382774" w:rsidRDefault="00382774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774" w:rsidRDefault="00382774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82774">
        <w:rPr>
          <w:rFonts w:ascii="Arial" w:hAnsi="Arial" w:cs="Arial"/>
          <w:b/>
          <w:bCs/>
          <w:sz w:val="28"/>
          <w:szCs w:val="28"/>
        </w:rPr>
        <w:t>Section 1: Applicants Personal Details</w:t>
      </w:r>
    </w:p>
    <w:p w:rsidR="004669E6" w:rsidRDefault="004669E6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5" w:rsidRP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applicant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5" w:rsidRP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5" w:rsidRP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5" w:rsidRP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545" w:rsidRPr="00382774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5" w:rsidRPr="00382774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Correspondence address</w:t>
            </w:r>
          </w:p>
          <w:p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B2C5C" w:rsidRDefault="002B2C5C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B2C5C" w:rsidRDefault="002B2C5C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B2C5C" w:rsidRPr="00382774" w:rsidRDefault="002B2C5C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35545" w:rsidRPr="00C35545" w:rsidRDefault="00C35545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</w:tr>
      <w:tr w:rsidR="00C35545" w:rsidTr="00003C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545" w:rsidRPr="00382774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EE772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5" w:rsidRPr="00382774" w:rsidRDefault="00EE7720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720" w:rsidTr="00EE772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E7720" w:rsidRPr="00382774" w:rsidRDefault="00EE7720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EE7720" w:rsidRDefault="00EE7720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4669E6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5" w:rsidRPr="00382774" w:rsidRDefault="00EE7720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telephone number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720" w:rsidTr="004669E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E7720" w:rsidRPr="00382774" w:rsidRDefault="00EE7720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="00EE7720" w:rsidRDefault="00EE7720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4669E6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5" w:rsidRPr="00382774" w:rsidRDefault="004669E6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 number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:rsidTr="004669E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545" w:rsidRPr="00382774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bottom w:val="nil"/>
              <w:right w:val="nil"/>
            </w:tcBorders>
          </w:tcPr>
          <w:p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69E5" w:rsidTr="004469E5">
        <w:trPr>
          <w:trHeight w:val="861"/>
        </w:trPr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</w:tcPr>
          <w:p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69E5" w:rsidRPr="00382774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This application refers to:</w:t>
            </w:r>
          </w:p>
          <w:p w:rsidR="004469E5" w:rsidRPr="00382774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(Property address)</w:t>
            </w:r>
          </w:p>
          <w:p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469E5" w:rsidRPr="00382774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  <w:vAlign w:val="bottom"/>
          </w:tcPr>
          <w:p w:rsidR="004469E5" w:rsidRPr="00C35545" w:rsidRDefault="004469E5" w:rsidP="00C355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9E5" w:rsidTr="00530C91">
        <w:trPr>
          <w:trHeight w:val="861"/>
        </w:trPr>
        <w:tc>
          <w:tcPr>
            <w:tcW w:w="30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single" w:sz="4" w:space="0" w:color="auto"/>
            </w:tcBorders>
            <w:vAlign w:val="bottom"/>
          </w:tcPr>
          <w:p w:rsidR="004469E5" w:rsidRDefault="004469E5" w:rsidP="00C355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69E5" w:rsidRDefault="004469E5" w:rsidP="00C355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69E5" w:rsidRPr="00382774" w:rsidRDefault="004469E5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8277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</w:tr>
    </w:tbl>
    <w:p w:rsidR="00382774" w:rsidRPr="00382774" w:rsidRDefault="00382774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2774" w:rsidRPr="00382774" w:rsidRDefault="00C35545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774">
        <w:rPr>
          <w:rFonts w:ascii="Arial" w:hAnsi="Arial" w:cs="Arial"/>
          <w:sz w:val="24"/>
          <w:szCs w:val="24"/>
        </w:rPr>
        <w:t xml:space="preserve"> </w:t>
      </w:r>
    </w:p>
    <w:p w:rsidR="005E46C4" w:rsidRPr="005E46C4" w:rsidRDefault="005E46C4" w:rsidP="005E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E46C4">
        <w:rPr>
          <w:rFonts w:ascii="Arial" w:hAnsi="Arial" w:cs="Arial"/>
          <w:b/>
          <w:sz w:val="28"/>
          <w:szCs w:val="28"/>
        </w:rPr>
        <w:t>Section 2: Reasoning for Issue of Temporary Exemption Notice</w:t>
      </w:r>
    </w:p>
    <w:p w:rsidR="005E46C4" w:rsidRPr="005E46C4" w:rsidRDefault="005E46C4" w:rsidP="005E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>Please provide the Local Authority with a detailed explanation as to your reasoning</w:t>
      </w:r>
      <w:r>
        <w:rPr>
          <w:rFonts w:ascii="Arial" w:hAnsi="Arial" w:cs="Arial"/>
          <w:sz w:val="24"/>
          <w:szCs w:val="24"/>
        </w:rPr>
        <w:t xml:space="preserve"> </w:t>
      </w:r>
      <w:r w:rsidRPr="005E46C4">
        <w:rPr>
          <w:rFonts w:ascii="Arial" w:hAnsi="Arial" w:cs="Arial"/>
          <w:sz w:val="24"/>
          <w:szCs w:val="24"/>
        </w:rPr>
        <w:t>for the issuing of a Temporary Exemption Notice on the property outlined above.</w:t>
      </w:r>
    </w:p>
    <w:p w:rsidR="00C35545" w:rsidRDefault="005E46C4" w:rsidP="005E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>(Please provide any supporting documents that may support your reasoning).</w:t>
      </w:r>
    </w:p>
    <w:p w:rsidR="005E46C4" w:rsidRDefault="005E46C4" w:rsidP="005E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46C4" w:rsidTr="004469E5">
        <w:trPr>
          <w:trHeight w:val="8248"/>
        </w:trPr>
        <w:tc>
          <w:tcPr>
            <w:tcW w:w="9242" w:type="dxa"/>
          </w:tcPr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6C4" w:rsidRDefault="005E46C4" w:rsidP="005E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46C4" w:rsidRDefault="005E46C4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>(Please continue on additional sheets if necessary)</w:t>
      </w:r>
    </w:p>
    <w:p w:rsidR="004669E6" w:rsidRDefault="004669E6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674C" w:rsidRDefault="008F674C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674C" w:rsidRDefault="008F674C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674C" w:rsidRDefault="008F674C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674C" w:rsidRDefault="008F674C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69E6" w:rsidRDefault="004669E6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69E6" w:rsidRDefault="004669E6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69E6">
        <w:rPr>
          <w:rFonts w:ascii="Arial" w:hAnsi="Arial" w:cs="Arial"/>
          <w:b/>
          <w:bCs/>
          <w:sz w:val="28"/>
          <w:szCs w:val="28"/>
        </w:rPr>
        <w:t>Section 3: Conditions of Temporary Exemption Notice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>If a Temporary Exemption Notice (T.E.N.) is served on the property as outlined in</w:t>
      </w:r>
      <w:r w:rsidRPr="004669E6"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Section 1, the property will not require a licence during the period for which the</w:t>
      </w:r>
      <w:r w:rsidRPr="004669E6"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notice is in force.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>A Temporary Exemption Notice is in force for a period of three months beginning</w:t>
      </w:r>
      <w:r w:rsidRPr="004669E6"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with the date on which it is served. If the Local Authority either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4669E6">
        <w:rPr>
          <w:rFonts w:ascii="Arial" w:hAnsi="Arial" w:cs="Arial"/>
          <w:sz w:val="24"/>
          <w:szCs w:val="24"/>
        </w:rPr>
        <w:t>receives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a further notifi</w:t>
      </w:r>
      <w:r w:rsidRPr="004669E6">
        <w:rPr>
          <w:rFonts w:ascii="Arial" w:hAnsi="Arial" w:cs="Arial"/>
          <w:sz w:val="24"/>
          <w:szCs w:val="24"/>
        </w:rPr>
        <w:t>cation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4669E6">
        <w:rPr>
          <w:rFonts w:ascii="Arial" w:hAnsi="Arial" w:cs="Arial"/>
          <w:sz w:val="24"/>
          <w:szCs w:val="24"/>
        </w:rPr>
        <w:t>considers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that there are exceptional circumstances that justify the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669E6">
        <w:rPr>
          <w:rFonts w:ascii="Arial" w:hAnsi="Arial" w:cs="Arial"/>
          <w:sz w:val="24"/>
          <w:szCs w:val="24"/>
        </w:rPr>
        <w:t>service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of a second temporary exemption notice in respect of the house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669E6">
        <w:rPr>
          <w:rFonts w:ascii="Arial" w:hAnsi="Arial" w:cs="Arial"/>
          <w:sz w:val="24"/>
          <w:szCs w:val="24"/>
        </w:rPr>
        <w:t>that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would take effect from the end of the period of three months applying</w:t>
      </w:r>
      <w:r w:rsidRPr="004669E6">
        <w:rPr>
          <w:rFonts w:ascii="Arial" w:hAnsi="Arial" w:cs="Arial"/>
          <w:sz w:val="24"/>
          <w:szCs w:val="24"/>
        </w:rPr>
        <w:t xml:space="preserve"> to the fi</w:t>
      </w:r>
      <w:r w:rsidRPr="004669E6">
        <w:rPr>
          <w:rFonts w:ascii="Arial" w:hAnsi="Arial" w:cs="Arial"/>
          <w:sz w:val="24"/>
          <w:szCs w:val="24"/>
        </w:rPr>
        <w:t>rst notice, the Local Authority may serve a second such notice on</w:t>
      </w:r>
      <w:r w:rsidRPr="004669E6"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the person having control of or managing the house.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>If the Local Authority decides not to serve a temporary exemption notice in</w:t>
      </w:r>
      <w:r w:rsidRPr="004669E6">
        <w:rPr>
          <w:rFonts w:ascii="Arial" w:hAnsi="Arial" w:cs="Arial"/>
          <w:sz w:val="24"/>
          <w:szCs w:val="24"/>
        </w:rPr>
        <w:t xml:space="preserve"> response to a notifi</w:t>
      </w:r>
      <w:r w:rsidRPr="004669E6">
        <w:rPr>
          <w:rFonts w:ascii="Arial" w:hAnsi="Arial" w:cs="Arial"/>
          <w:sz w:val="24"/>
          <w:szCs w:val="24"/>
        </w:rPr>
        <w:t>cation they must inform the applicant of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4669E6">
        <w:rPr>
          <w:rFonts w:ascii="Arial" w:hAnsi="Arial" w:cs="Arial"/>
          <w:sz w:val="24"/>
          <w:szCs w:val="24"/>
        </w:rPr>
        <w:t>the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decision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4669E6">
        <w:rPr>
          <w:rFonts w:ascii="Arial" w:hAnsi="Arial" w:cs="Arial"/>
          <w:sz w:val="24"/>
          <w:szCs w:val="24"/>
        </w:rPr>
        <w:t>the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reasons for it and the date on which it was made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4669E6">
        <w:rPr>
          <w:rFonts w:ascii="Arial" w:hAnsi="Arial" w:cs="Arial"/>
          <w:sz w:val="24"/>
          <w:szCs w:val="24"/>
        </w:rPr>
        <w:t>the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right to appeal against the decision, and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4669E6">
        <w:rPr>
          <w:rFonts w:ascii="Arial" w:hAnsi="Arial" w:cs="Arial"/>
          <w:sz w:val="24"/>
          <w:szCs w:val="24"/>
        </w:rPr>
        <w:t>the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period within which an appeal may be made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 xml:space="preserve">The person concerned may appeal to a residential property tribunal </w:t>
      </w:r>
      <w:r w:rsidRPr="004669E6">
        <w:rPr>
          <w:rFonts w:ascii="Arial" w:hAnsi="Arial" w:cs="Arial"/>
          <w:sz w:val="24"/>
          <w:szCs w:val="24"/>
        </w:rPr>
        <w:t>a</w:t>
      </w:r>
      <w:r w:rsidRPr="004669E6">
        <w:rPr>
          <w:rFonts w:ascii="Arial" w:hAnsi="Arial" w:cs="Arial"/>
          <w:sz w:val="24"/>
          <w:szCs w:val="24"/>
        </w:rPr>
        <w:t>gainst</w:t>
      </w:r>
      <w:r w:rsidRPr="004669E6"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the decision within the period of 28 days beginning with the date on which it</w:t>
      </w:r>
      <w:r w:rsidRPr="004669E6"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was made.</w:t>
      </w: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69E6">
        <w:rPr>
          <w:rFonts w:ascii="Arial" w:hAnsi="Arial" w:cs="Arial"/>
          <w:b/>
          <w:bCs/>
          <w:sz w:val="28"/>
          <w:szCs w:val="28"/>
        </w:rPr>
        <w:t>Section 4: Declaration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 t</w:t>
      </w:r>
      <w:r w:rsidRPr="004669E6">
        <w:rPr>
          <w:rFonts w:ascii="Arial" w:hAnsi="Arial" w:cs="Arial"/>
          <w:b/>
          <w:bCs/>
          <w:sz w:val="24"/>
          <w:szCs w:val="24"/>
        </w:rPr>
        <w:t>o Applicants</w:t>
      </w:r>
    </w:p>
    <w:p w:rsidR="004669E6" w:rsidRP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>Please note that it is a criminal offence to knowingly supply information, which is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false or misleading for the purposes of obtaining a temporary exemption notice.</w:t>
      </w: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>Evidence of any statements made in this application with regard to the property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concerned may be required at a later date. If we subsequently discover something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which is relevant and which you should have disclosed or which has been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incorrectly stated or described, your temporary exemption notice may be revoked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or other appropriate action taken.</w:t>
      </w: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69E6" w:rsidTr="004669E6">
        <w:tc>
          <w:tcPr>
            <w:tcW w:w="9242" w:type="dxa"/>
            <w:shd w:val="clear" w:color="auto" w:fill="D9D9D9" w:themeFill="background1" w:themeFillShade="D9"/>
          </w:tcPr>
          <w:p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</w:pPr>
            <w:r w:rsidRPr="004669E6"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  <w:t>Declaration</w:t>
            </w: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I/we declare that the information contained in this application is correct to the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best of my/our knowledge. </w:t>
            </w: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I/we understand that I/we commit an offence if I/we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supply any information to a local housing authority in connection with any of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their functions under any of Parts 1 to 4 of the Housing Act 2004 that is false or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misleading and which I/we know is false or misleading or am/are reckless as to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whether it is false or misleading.</w:t>
            </w:r>
          </w:p>
          <w:p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Signed ______________________________________ Date _______________</w:t>
            </w:r>
          </w:p>
          <w:p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Signed ______________________________________ Date _______________</w:t>
            </w:r>
          </w:p>
          <w:p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Signed ______________________________________ Date _______________</w:t>
            </w:r>
          </w:p>
          <w:p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Signed ______________________________________ Date _______________</w:t>
            </w: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669E6">
              <w:rPr>
                <w:rFonts w:ascii="DINSalford-Medium" w:hAnsi="DINSalford-Medium" w:cs="DINSalford-Medium"/>
                <w:b/>
                <w:szCs w:val="24"/>
              </w:rPr>
              <w:t>In the case of partnerships or trustees, all partners or trustees must sign. In the case of a limited company, the form must be signed by a director or company secretary or other</w:t>
            </w:r>
            <w:r w:rsidRPr="004669E6">
              <w:rPr>
                <w:rFonts w:ascii="DINSalford-Medium" w:hAnsi="DINSalford-Medium" w:cs="DINSalford-Medium"/>
                <w:b/>
                <w:szCs w:val="24"/>
              </w:rPr>
              <w:t xml:space="preserve"> </w:t>
            </w:r>
            <w:r w:rsidRPr="004669E6">
              <w:rPr>
                <w:rFonts w:ascii="DINSalford-Medium" w:hAnsi="DINSalford-Medium" w:cs="DINSalford-Medium"/>
                <w:b/>
                <w:szCs w:val="24"/>
              </w:rPr>
              <w:t>authorised officer, in which case we will require proof of authority.</w:t>
            </w: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</w:pPr>
          </w:p>
        </w:tc>
      </w:tr>
    </w:tbl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69E6" w:rsidTr="004669E6">
        <w:tc>
          <w:tcPr>
            <w:tcW w:w="9242" w:type="dxa"/>
          </w:tcPr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8"/>
                <w:szCs w:val="28"/>
              </w:rPr>
            </w:pPr>
            <w:r>
              <w:rPr>
                <w:rFonts w:ascii="DINSalford-Regular" w:hAnsi="DINSalford-Regular" w:cs="DINSalford-Regular"/>
                <w:sz w:val="28"/>
                <w:szCs w:val="28"/>
              </w:rPr>
              <w:t>Date Application Received:</w:t>
            </w: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8"/>
                <w:szCs w:val="28"/>
              </w:rPr>
            </w:pP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8"/>
                <w:szCs w:val="28"/>
              </w:rPr>
            </w:pPr>
            <w:r>
              <w:rPr>
                <w:rFonts w:ascii="DINSalford-Regular" w:hAnsi="DINSalford-Regular" w:cs="DINSalford-Regular"/>
                <w:sz w:val="28"/>
                <w:szCs w:val="28"/>
              </w:rPr>
              <w:t>Offi</w:t>
            </w:r>
            <w:r>
              <w:rPr>
                <w:rFonts w:ascii="DINSalford-Regular" w:hAnsi="DINSalford-Regular" w:cs="DINSalford-Regular"/>
                <w:sz w:val="28"/>
                <w:szCs w:val="28"/>
              </w:rPr>
              <w:t>cers initials:</w:t>
            </w: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8"/>
                <w:szCs w:val="28"/>
              </w:rPr>
            </w:pP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8"/>
                <w:szCs w:val="28"/>
              </w:rPr>
            </w:pPr>
            <w:r>
              <w:rPr>
                <w:rFonts w:ascii="DINSalford-Regular" w:hAnsi="DINSalford-Regular" w:cs="DINSalford-Regular"/>
                <w:sz w:val="28"/>
                <w:szCs w:val="28"/>
              </w:rPr>
              <w:t>Licence reference number:</w:t>
            </w:r>
          </w:p>
          <w:p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Medium" w:hAnsi="DINSalford-Medium" w:cs="DINSalford-Medium"/>
                <w:sz w:val="24"/>
                <w:szCs w:val="24"/>
              </w:rPr>
            </w:pPr>
          </w:p>
        </w:tc>
      </w:tr>
    </w:tbl>
    <w:p w:rsidR="004669E6" w:rsidRPr="004669E6" w:rsidRDefault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669E6" w:rsidRPr="004669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A5" w:rsidRDefault="00FB64A5" w:rsidP="00FB64A5">
      <w:pPr>
        <w:spacing w:after="0" w:line="240" w:lineRule="auto"/>
      </w:pPr>
      <w:r>
        <w:separator/>
      </w:r>
    </w:p>
  </w:endnote>
  <w:endnote w:type="continuationSeparator" w:id="0">
    <w:p w:rsidR="00FB64A5" w:rsidRDefault="00FB64A5" w:rsidP="00FB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Salfo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Salfor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Salfor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A5" w:rsidRDefault="00FB64A5" w:rsidP="00FB64A5">
      <w:pPr>
        <w:spacing w:after="0" w:line="240" w:lineRule="auto"/>
      </w:pPr>
      <w:r>
        <w:separator/>
      </w:r>
    </w:p>
  </w:footnote>
  <w:footnote w:type="continuationSeparator" w:id="0">
    <w:p w:rsidR="00FB64A5" w:rsidRDefault="00FB64A5" w:rsidP="00FB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A5" w:rsidRDefault="00FB64A5">
    <w:pPr>
      <w:pStyle w:val="Header"/>
    </w:pPr>
    <w:r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DAF9566" wp14:editId="5403538E">
          <wp:simplePos x="0" y="0"/>
          <wp:positionH relativeFrom="column">
            <wp:posOffset>-904461</wp:posOffset>
          </wp:positionH>
          <wp:positionV relativeFrom="paragraph">
            <wp:posOffset>464820</wp:posOffset>
          </wp:positionV>
          <wp:extent cx="3180522" cy="327991"/>
          <wp:effectExtent l="0" t="0" r="1270" b="0"/>
          <wp:wrapNone/>
          <wp:docPr id="3" name="Picture 3" descr="Curvy Line 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vy Line Ho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785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4"/>
        <w:lang w:eastAsia="en-GB"/>
      </w:rPr>
      <w:drawing>
        <wp:inline distT="0" distB="0" distL="0" distR="0" wp14:anchorId="1EA93ED6" wp14:editId="5DDC5FD2">
          <wp:extent cx="735724" cy="457200"/>
          <wp:effectExtent l="0" t="0" r="7620" b="0"/>
          <wp:docPr id="4" name="Picture 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48" cy="459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6"/>
    <w:rsid w:val="00003CC0"/>
    <w:rsid w:val="002B2C5C"/>
    <w:rsid w:val="00382774"/>
    <w:rsid w:val="004469E5"/>
    <w:rsid w:val="004669E6"/>
    <w:rsid w:val="005E46C4"/>
    <w:rsid w:val="007302D5"/>
    <w:rsid w:val="008F674C"/>
    <w:rsid w:val="00AE1A26"/>
    <w:rsid w:val="00C35545"/>
    <w:rsid w:val="00D82C11"/>
    <w:rsid w:val="00EE7720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A5"/>
  </w:style>
  <w:style w:type="paragraph" w:styleId="Footer">
    <w:name w:val="footer"/>
    <w:basedOn w:val="Normal"/>
    <w:link w:val="Foot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A5"/>
  </w:style>
  <w:style w:type="character" w:styleId="Hyperlink">
    <w:name w:val="Hyperlink"/>
    <w:basedOn w:val="DefaultParagraphFont"/>
    <w:uiPriority w:val="99"/>
    <w:unhideWhenUsed/>
    <w:rsid w:val="00382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A5"/>
  </w:style>
  <w:style w:type="paragraph" w:styleId="Footer">
    <w:name w:val="footer"/>
    <w:basedOn w:val="Normal"/>
    <w:link w:val="Foot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A5"/>
  </w:style>
  <w:style w:type="character" w:styleId="Hyperlink">
    <w:name w:val="Hyperlink"/>
    <w:basedOn w:val="DefaultParagraphFont"/>
    <w:uiPriority w:val="99"/>
    <w:unhideWhenUsed/>
    <w:rsid w:val="00382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.standards@doncaster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26D1-2FA0-41D1-90AA-35FEF7D8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Breach, Rachel</dc:creator>
  <cp:lastModifiedBy>Breach, Rachel</cp:lastModifiedBy>
  <cp:revision>8</cp:revision>
  <cp:lastPrinted>2015-06-05T08:41:00Z</cp:lastPrinted>
  <dcterms:created xsi:type="dcterms:W3CDTF">2015-06-05T08:02:00Z</dcterms:created>
  <dcterms:modified xsi:type="dcterms:W3CDTF">2015-06-05T09:31:00Z</dcterms:modified>
</cp:coreProperties>
</file>